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both"/>
        <w:textAlignment w:val="auto"/>
        <w:outlineLvl w:val="9"/>
      </w:pPr>
      <w:r>
        <w:rPr>
          <w:rStyle w:val="5"/>
          <w:rFonts w:hint="eastAsia" w:ascii="微软雅黑" w:hAnsi="微软雅黑" w:eastAsia="微软雅黑" w:cs="微软雅黑"/>
          <w:color w:val="4B4B4B"/>
          <w:sz w:val="24"/>
          <w:szCs w:val="24"/>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26" w:beforeAutospacing="0" w:after="0" w:afterAutospacing="0" w:line="480" w:lineRule="atLeast"/>
        <w:ind w:left="0" w:right="0"/>
        <w:jc w:val="center"/>
        <w:textAlignment w:val="auto"/>
      </w:pPr>
      <w:r>
        <w:rPr>
          <w:rStyle w:val="5"/>
          <w:rFonts w:hint="eastAsia" w:ascii="微软雅黑" w:hAnsi="微软雅黑" w:eastAsia="微软雅黑" w:cs="微软雅黑"/>
          <w:color w:val="4B4B4B"/>
          <w:sz w:val="24"/>
          <w:szCs w:val="24"/>
          <w:shd w:val="clear" w:fill="FFFFFF"/>
        </w:rPr>
        <w:t>重 点 任 务 分 工</w:t>
      </w:r>
      <w:bookmarkStart w:id="0" w:name="_GoBack"/>
      <w:bookmarkEnd w:id="0"/>
    </w:p>
    <w:tbl>
      <w:tblPr>
        <w:tblStyle w:val="8"/>
        <w:tblW w:w="8521" w:type="dxa"/>
        <w:jc w:val="center"/>
        <w:tblInd w:w="1" w:type="dxa"/>
        <w:shd w:val="clear" w:color="auto" w:fill="auto"/>
        <w:tblLayout w:type="fixed"/>
        <w:tblCellMar>
          <w:top w:w="85" w:type="dxa"/>
          <w:left w:w="0" w:type="dxa"/>
          <w:bottom w:w="85" w:type="dxa"/>
          <w:right w:w="0" w:type="dxa"/>
        </w:tblCellMar>
      </w:tblPr>
      <w:tblGrid>
        <w:gridCol w:w="673"/>
        <w:gridCol w:w="1444"/>
        <w:gridCol w:w="3971"/>
        <w:gridCol w:w="2433"/>
      </w:tblGrid>
      <w:tr>
        <w:tblPrEx>
          <w:tblLayout w:type="fixed"/>
          <w:tblCellMar>
            <w:top w:w="85" w:type="dxa"/>
            <w:left w:w="0" w:type="dxa"/>
            <w:bottom w:w="85" w:type="dxa"/>
            <w:right w:w="0" w:type="dxa"/>
          </w:tblCellMar>
        </w:tblPrEx>
        <w:trPr>
          <w:jc w:val="center"/>
        </w:trPr>
        <w:tc>
          <w:tcPr>
            <w:tcW w:w="67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b/>
                <w:color w:val="000000"/>
                <w:kern w:val="0"/>
                <w:sz w:val="20"/>
                <w:szCs w:val="20"/>
                <w:lang w:val="en-US" w:eastAsia="zh-CN" w:bidi="ar"/>
              </w:rPr>
              <w:t>序号</w:t>
            </w:r>
          </w:p>
        </w:tc>
        <w:tc>
          <w:tcPr>
            <w:tcW w:w="1444"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b/>
                <w:color w:val="000000"/>
                <w:kern w:val="0"/>
                <w:sz w:val="20"/>
                <w:szCs w:val="20"/>
                <w:lang w:val="en-US" w:eastAsia="zh-CN" w:bidi="ar"/>
              </w:rPr>
              <w:t>工作任务</w:t>
            </w:r>
          </w:p>
        </w:tc>
        <w:tc>
          <w:tcPr>
            <w:tcW w:w="3971"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b/>
                <w:color w:val="000000"/>
                <w:kern w:val="0"/>
                <w:sz w:val="20"/>
                <w:szCs w:val="20"/>
                <w:lang w:val="en-US" w:eastAsia="zh-CN" w:bidi="ar"/>
              </w:rPr>
              <w:t>主要内容</w:t>
            </w:r>
          </w:p>
        </w:tc>
        <w:tc>
          <w:tcPr>
            <w:tcW w:w="243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b/>
                <w:color w:val="000000"/>
                <w:kern w:val="0"/>
                <w:sz w:val="20"/>
                <w:szCs w:val="20"/>
                <w:lang w:val="en-US" w:eastAsia="zh-CN" w:bidi="ar"/>
              </w:rPr>
              <w:t>责任单位</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ascii="Calibri" w:hAnsi="Calibri" w:eastAsia="宋体" w:cs="宋体"/>
                <w:color w:val="000000"/>
                <w:kern w:val="0"/>
                <w:sz w:val="20"/>
                <w:szCs w:val="20"/>
                <w:lang w:val="en-US" w:eastAsia="zh-CN" w:bidi="ar"/>
              </w:rPr>
              <w:t>1</w:t>
            </w:r>
          </w:p>
        </w:tc>
        <w:tc>
          <w:tcPr>
            <w:tcW w:w="144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构建教育和产业统筹融合发展格局</w:t>
            </w: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同步规划产教融合与经济社会发展。</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国家发展改革委会同有关部门，各省级人民政府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2</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统筹职业教育与区域发展布局。</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教育部、国家发展改革委、人力资源社会保障部，各省级人民政府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3</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促进高等教育融入国家创新体系和新型城镇化建设。</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教育部、国家发展改革委、科技部，有关省级人民政府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4</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推动学科专业建设与产业转型升级相适应。建立紧密对接产业链、创新链的学科专业体系。加快推进新工科建设。</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教育部、国家发展改革委会同有关部门</w:t>
            </w:r>
          </w:p>
        </w:tc>
      </w:tr>
      <w:tr>
        <w:tblPrEx>
          <w:shd w:val="clear" w:color="auto" w:fill="auto"/>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5</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健全需求导向的人才培养结构调整机制。严格实行专业预警和退出机制。</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6</w:t>
            </w:r>
          </w:p>
        </w:tc>
        <w:tc>
          <w:tcPr>
            <w:tcW w:w="144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强化企业重要主体作用</w:t>
            </w: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鼓励企业以独资、合资、合作等方式依法参与举办职业教育、高等教育。坚持准入条件透明化、审批范围最小化，细化标准、简化流程、优化服务，改进办学准入条件和审批环节。</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7</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鼓励有条件的地区探索推进职业学校股份制、混合所有制改革，允许企业以资本、技术、管理等要素依法参与办学并享有相应权利。</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有关省级人民政府</w:t>
            </w:r>
          </w:p>
        </w:tc>
      </w:tr>
      <w:tr>
        <w:tblPrEx>
          <w:shd w:val="clear" w:color="auto" w:fill="auto"/>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8</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深化“引企入教”改革，促进企业需求融入人才培养环节。</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教育部、人力资源社会保障部、工业和信息化部会同有关部门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9</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健全学生到企业实习实训制度，推进实习实训规范化。</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教育部、国家发展改革委、人力资源社会保障部会同有关部门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10</w:t>
            </w:r>
          </w:p>
        </w:tc>
        <w:tc>
          <w:tcPr>
            <w:tcW w:w="144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强化企业重要主体作用</w:t>
            </w: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教育部、科技部会同有关部门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11</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继续加强企业技术中心和高校技术创新平台建设，鼓励企业和高校共建产业技术实验室、中试和工程化基地。利用产业投资基金支持高校创新成果和核心技术产业化。</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国家发展改革委、教育部、科技部、财政部会同有关部门</w:t>
            </w:r>
          </w:p>
        </w:tc>
      </w:tr>
      <w:tr>
        <w:tblPrEx>
          <w:shd w:val="clear" w:color="auto" w:fill="auto"/>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12</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强化企业职工在岗教育培训。</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全国总工会、人力资源社会保障部会同有关部门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13</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鼓励区域、行业骨干企业联合职业学校、高等学校共同组建产教融合集团（联盟），带动中小企业参与，推进实体化运作。</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有关部门和行业协会，各省级人民政府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14</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注重发挥国有企业特别是中央企业示范带头作用，支持各类企业依法参与校企合作。</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国务院国资委、全国工商联</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15</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结合推进国有企业改革，支持有条件的国有企业继续办好做强职业学校。</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国务院国资委、国家发展改革委、财政部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16</w:t>
            </w:r>
          </w:p>
        </w:tc>
        <w:tc>
          <w:tcPr>
            <w:tcW w:w="144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推进产教融合人才培养改革</w:t>
            </w: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将工匠精神培育融入基础教育。深化全日制职业学校办学体制改革，在技术性、实践性较强的专业，全面推行现代学徒制和企业新型学徒制。</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教育部、人力资源社会保障部、国家发展改革委、全国总工会会同有关部门</w:t>
            </w:r>
          </w:p>
        </w:tc>
      </w:tr>
      <w:tr>
        <w:tblPrEx>
          <w:shd w:val="clear" w:color="auto" w:fill="auto"/>
          <w:tblLayout w:type="fixed"/>
          <w:tblCellMar>
            <w:top w:w="85" w:type="dxa"/>
            <w:left w:w="0" w:type="dxa"/>
            <w:bottom w:w="85" w:type="dxa"/>
            <w:right w:w="0" w:type="dxa"/>
          </w:tblCellMar>
        </w:tblPrEx>
        <w:trPr>
          <w:trHeight w:val="90" w:hRule="atLeast"/>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17</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健全高等教育学术人才和应用人才分类培养体系，提高应用型人才培养比重。</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教育部、国家发展改革委会同有关部门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18</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加强产教融合师资队伍建设。支持企业技术和管理人才到学校任教，鼓励有条件的地方探索产业教师（导师）特设岗位计划。</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教育部，各省级人民政府</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19</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适度提高高等学校招收职业教育毕业生比例，建立复合型、创新型技术技能人才系统培养制度。逐步提高高等学校招收有工作实践经历人员的比例。</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教育部会同有关部门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 </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20</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加快学校治理结构改革。创新教育培训服务供给。</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教育部会同有关部门</w:t>
            </w:r>
          </w:p>
        </w:tc>
      </w:tr>
      <w:tr>
        <w:tblPrEx>
          <w:shd w:val="clear" w:color="auto" w:fill="auto"/>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21</w:t>
            </w:r>
          </w:p>
        </w:tc>
        <w:tc>
          <w:tcPr>
            <w:tcW w:w="144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促进产教供需双向对接</w:t>
            </w: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强化行业协调指导。规范发展市场服务组织。打造信息服务平台。健全社会第三方评价。</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国家发展改革委、教育部、有关部门和行业协会，有关省级人民政府</w:t>
            </w:r>
          </w:p>
        </w:tc>
      </w:tr>
      <w:tr>
        <w:tblPrEx>
          <w:shd w:val="clear" w:color="auto" w:fill="auto"/>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22</w:t>
            </w:r>
          </w:p>
        </w:tc>
        <w:tc>
          <w:tcPr>
            <w:tcW w:w="144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完善政策支持体系</w:t>
            </w: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实施产教融合发展工程。</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国家发展改革委、教育部、人力资源社会保障部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23</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落实财税用地等政策。</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财政部、税务总局、国土资源部、国家发展改革委，各省级人民政府</w:t>
            </w:r>
          </w:p>
        </w:tc>
      </w:tr>
      <w:tr>
        <w:tblPrEx>
          <w:shd w:val="clear" w:color="auto" w:fill="auto"/>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24</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强化金融支持。</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人民银行、银监会、证监会、保监会、国家发展改革委、财政部</w:t>
            </w:r>
          </w:p>
        </w:tc>
      </w:tr>
      <w:tr>
        <w:tblPrEx>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25</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开展产教融合建设试点。</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国家发展改革委、教育部会同有关部门，各省级人民政府</w:t>
            </w:r>
          </w:p>
        </w:tc>
      </w:tr>
      <w:tr>
        <w:tblPrEx>
          <w:shd w:val="clear" w:color="auto" w:fill="auto"/>
          <w:tblLayout w:type="fixed"/>
          <w:tblCellMar>
            <w:top w:w="85" w:type="dxa"/>
            <w:left w:w="0" w:type="dxa"/>
            <w:bottom w:w="85" w:type="dxa"/>
            <w:right w:w="0" w:type="dxa"/>
          </w:tblCellMar>
        </w:tblPrEx>
        <w:trPr>
          <w:jc w:val="center"/>
        </w:trPr>
        <w:tc>
          <w:tcPr>
            <w:tcW w:w="6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default" w:ascii="Calibri" w:hAnsi="Calibri" w:eastAsia="宋体" w:cs="宋体"/>
                <w:color w:val="000000"/>
                <w:kern w:val="0"/>
                <w:sz w:val="20"/>
                <w:szCs w:val="20"/>
                <w:lang w:val="en-US" w:eastAsia="zh-CN" w:bidi="ar"/>
              </w:rPr>
              <w:t>26</w:t>
            </w:r>
          </w:p>
        </w:tc>
        <w:tc>
          <w:tcPr>
            <w:tcW w:w="144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sz w:val="24"/>
                <w:szCs w:val="24"/>
              </w:rPr>
            </w:pPr>
          </w:p>
        </w:tc>
        <w:tc>
          <w:tcPr>
            <w:tcW w:w="397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加强国际交流合作。</w:t>
            </w:r>
          </w:p>
        </w:tc>
        <w:tc>
          <w:tcPr>
            <w:tcW w:w="24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pPr>
            <w:r>
              <w:rPr>
                <w:rFonts w:hint="eastAsia" w:ascii="宋体" w:hAnsi="宋体" w:eastAsia="宋体" w:cs="宋体"/>
                <w:color w:val="000000"/>
                <w:kern w:val="0"/>
                <w:sz w:val="20"/>
                <w:szCs w:val="20"/>
                <w:lang w:val="en-US" w:eastAsia="zh-CN" w:bidi="ar"/>
              </w:rPr>
              <w:t>教育部会同有关部门</w:t>
            </w:r>
          </w:p>
        </w:tc>
      </w:tr>
    </w:tbl>
    <w:p>
      <w:pPr>
        <w:keepNext w:val="0"/>
        <w:keepLines w:val="0"/>
        <w:pageBreakBefore w:val="0"/>
        <w:kinsoku/>
        <w:wordWrap/>
        <w:overflowPunct/>
        <w:topLinePunct w:val="0"/>
        <w:autoSpaceDE/>
        <w:autoSpaceDN/>
        <w:bidi w:val="0"/>
        <w:adjustRightInd/>
        <w:snapToGrid/>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629A6"/>
    <w:rsid w:val="02B629A6"/>
    <w:rsid w:val="07D666D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 w:type="character" w:customStyle="1" w:styleId="9">
    <w:name w:val="hover36"/>
    <w:basedOn w:val="4"/>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2018-05-16T05:48:00Z</dcterms:created>
  <dc:creator>⒈个人安静</dc:creator>
  <cp:lastModifiedBy>⒈个人安静</cp:lastModifiedBy>
  <dcterms:modified xsi:type="dcterms:W3CDTF">2018-05-17T15:46:37Z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